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D19" w14:textId="6D0FFFAF" w:rsidR="004D549A" w:rsidRPr="00940D92" w:rsidRDefault="004D549A" w:rsidP="0029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 ОСВІТИ І НАУКИ УКРАЇНИ</w:t>
      </w:r>
    </w:p>
    <w:p w14:paraId="19D0D97B" w14:textId="7C3415BA" w:rsidR="0029456F" w:rsidRPr="00940D92" w:rsidRDefault="0029456F" w:rsidP="0029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327CCC" w14:textId="77777777" w:rsidR="0029456F" w:rsidRPr="00940D92" w:rsidRDefault="0029456F" w:rsidP="0029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897FDE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1/9-173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</w:t>
      </w:r>
    </w:p>
    <w:p w14:paraId="15FB52CD" w14:textId="77777777" w:rsidR="004D549A" w:rsidRPr="00940D92" w:rsidRDefault="004D549A" w:rsidP="00294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адміністрацій</w:t>
      </w:r>
      <w:proofErr w:type="spellEnd"/>
    </w:p>
    <w:p w14:paraId="65A437AB" w14:textId="77777777" w:rsidR="004D549A" w:rsidRPr="00940D92" w:rsidRDefault="004D549A" w:rsidP="00294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14:paraId="67F899F9" w14:textId="77777777" w:rsidR="004D549A" w:rsidRPr="00940D92" w:rsidRDefault="004D549A" w:rsidP="00294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організації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br/>
        <w:t xml:space="preserve">закладах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br/>
        <w:t>час карантину</w:t>
      </w:r>
    </w:p>
    <w:p w14:paraId="40B9A9F2" w14:textId="77777777" w:rsidR="0029456F" w:rsidRPr="00940D92" w:rsidRDefault="0029456F" w:rsidP="0029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37D327" w14:textId="2CEAA49B" w:rsidR="004D549A" w:rsidRPr="00940D92" w:rsidRDefault="004D549A" w:rsidP="0029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Шановні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14:paraId="43AC5603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епідеміологічною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ситуацією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склалася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(СОVID-19), просимо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дотримуватися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протиепідеміологічних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нижче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карантину.</w:t>
      </w:r>
    </w:p>
    <w:p w14:paraId="456C7892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режиму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</w:p>
    <w:p w14:paraId="6D5A5DD1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четвертою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38 Закону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hyperlink r:id="rId5" w:history="1"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Про </w:t>
        </w:r>
        <w:proofErr w:type="spellStart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повну</w:t>
        </w:r>
        <w:proofErr w:type="spellEnd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загальну</w:t>
        </w:r>
        <w:proofErr w:type="spellEnd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середню</w:t>
        </w:r>
        <w:proofErr w:type="spellEnd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освіту</w:t>
        </w:r>
        <w:proofErr w:type="spellEnd"/>
      </w:hyperlink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Закон)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належать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постанови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 </w:t>
      </w:r>
      <w:hyperlink r:id="rId6" w:history="1"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№ 211</w:t>
        </w:r>
      </w:hyperlink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«Про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СОVID-19»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реального часу через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 </w:t>
      </w:r>
      <w:hyperlink r:id="rId7" w:history="1"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№ 406</w:t>
        </w:r>
      </w:hyperlink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«Про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для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коронавірусу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СОVID-19»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 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очолюваних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карантину.</w:t>
      </w:r>
    </w:p>
    <w:p w14:paraId="3ECE0087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наказом,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FF72091" w14:textId="77777777" w:rsidR="004D549A" w:rsidRPr="00940D92" w:rsidRDefault="004D549A" w:rsidP="0029456F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(як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так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непедагогічних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запровадженням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гнучкого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6A95F99" w14:textId="77777777" w:rsidR="004D549A" w:rsidRPr="00940D92" w:rsidRDefault="004D549A" w:rsidP="0029456F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організаційно-педагогічної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14:paraId="6AC55369" w14:textId="77777777" w:rsidR="004D549A" w:rsidRPr="00940D92" w:rsidRDefault="004D549A" w:rsidP="0029456F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життєзабезпечення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режиму);</w:t>
      </w:r>
    </w:p>
    <w:p w14:paraId="2F1DD363" w14:textId="77777777" w:rsidR="004D549A" w:rsidRPr="00940D92" w:rsidRDefault="004D549A" w:rsidP="0029456F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6435AB4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шляхом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матеріально-технічних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3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загальнодержавних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протиепідеміологічних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автономію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запропонувати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поза межами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0FB67C9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матеріалами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0"/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застосовуватися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будь-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пристрої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мобільний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телефон,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спільноту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мережах,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додатках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надсилати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вебсайті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-уроки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гіперпосилання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них.</w:t>
      </w:r>
    </w:p>
    <w:p w14:paraId="47C94CEE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найближчим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часом МОН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підсумкової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2020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епідеміологічною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ситуацією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склалася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099282C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структури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року</w:t>
      </w:r>
    </w:p>
    <w:p w14:paraId="5EA6D987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Закону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закладах</w:t>
      </w:r>
      <w:proofErr w:type="gram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завершується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липня.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епідеміологічною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ситуацією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 буде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змінено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F3FD10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такому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включатиме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(у тому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карантину.</w:t>
      </w:r>
    </w:p>
    <w:p w14:paraId="484033AA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багатьох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весняні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заплановані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23 по 29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незмінною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20AED54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Просимо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канікулярного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перевантажувати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домашніми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плановому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83F90EC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«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фіксації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ведення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класних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журналів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час карантину</w:t>
      </w:r>
    </w:p>
    <w:p w14:paraId="19A78CAC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Автономію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академічною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свободою,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включаючи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свободу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авторських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BCC5B48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9D6A6DB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наблизити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та поточного режиму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ACC0743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Рекомендуємо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заповнення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друкованому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відтермінувати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нормалізації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епідеміологічної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03F57CD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виставлення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оцінок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носіях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 не є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виставлення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оцінок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91831BB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Нагадуємо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фіксуються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Водночас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тематика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домашніх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онлайн-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-уроки, скайп-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тестування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14:paraId="1038C01B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наразі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фіксуватимуться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вчителем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спосіб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занесені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сторінок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журналу.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дозволяють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провести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рекомендовано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відтермінувати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епідеміологічної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C2E983C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Інструкцією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закладах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МОН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червня 2018 року </w:t>
      </w:r>
      <w:hyperlink r:id="rId8" w:history="1"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№ 676</w:t>
        </w:r>
      </w:hyperlink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 вересня 2018 року за № 1028/32480,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створювати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10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строку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2931A20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Нагадуємо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доступними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05E1FDA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окремих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питань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трудових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відносин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оплати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сумісників</w:t>
      </w:r>
      <w:proofErr w:type="spellEnd"/>
    </w:p>
    <w:p w14:paraId="65F8F36A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Уряду (протокол № 8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18.03.2020) та з метою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грубих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утримуватися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заборони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карантину.</w:t>
      </w:r>
    </w:p>
    <w:p w14:paraId="1A9F2837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звертаємо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Вашу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регламентовано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1993 року № 245 «Про роботу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Міністерства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 червня 1993 року № 43 «Про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14:paraId="66D67F60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регулярної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оплачуваної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трудового договору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на тому ж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Оплата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провадиться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роботу.</w:t>
      </w:r>
    </w:p>
    <w:p w14:paraId="4DE164F5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іншому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то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гарантоване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113 Кодексу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час простою, коли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виникла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небезпечна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людей,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природного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вини,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AEAF819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пункту 77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порядок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обчислення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1993 року </w:t>
      </w:r>
      <w:hyperlink r:id="rId9" w:history="1">
        <w:r w:rsidRPr="00940D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 w:eastAsia="ru-RU"/>
          </w:rPr>
          <w:t>№ 102</w:t>
        </w:r>
      </w:hyperlink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сумісник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вчителем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виконує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карантину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організаційно-педагогічну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оплата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тарифікації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33CC2E8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Особи,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з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погодинною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оплатою та в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240 годин на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вважається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є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спільним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 червня 1993 року № 43,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відпрацьований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облікований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закладом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в межах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тижневого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D0E005E" w14:textId="77777777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Допоміжно-обслуговуючий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сумісництвом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прибирання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опалення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отримують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заробітну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умов оплати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трудових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договорах.</w:t>
      </w:r>
    </w:p>
    <w:p w14:paraId="02B147D9" w14:textId="77777777" w:rsidR="0029456F" w:rsidRPr="00940D92" w:rsidRDefault="0029456F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7A337A" w14:textId="77777777" w:rsidR="0029456F" w:rsidRPr="00940D92" w:rsidRDefault="0029456F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30F7EF" w14:textId="41B18E16" w:rsidR="004D549A" w:rsidRPr="00940D92" w:rsidRDefault="004D549A" w:rsidP="00294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Зповагою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заступник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Міністра</w:t>
      </w:r>
      <w:proofErr w:type="spellEnd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            </w:t>
      </w:r>
      <w:r w:rsidR="0029456F"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      Любомира </w:t>
      </w:r>
      <w:proofErr w:type="spellStart"/>
      <w:r w:rsidRPr="00940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Мандзій</w:t>
      </w:r>
      <w:proofErr w:type="spellEnd"/>
    </w:p>
    <w:p w14:paraId="4AA457E0" w14:textId="77777777" w:rsidR="00273899" w:rsidRPr="00940D92" w:rsidRDefault="00273899" w:rsidP="002945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3899" w:rsidRPr="009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487D"/>
    <w:multiLevelType w:val="multilevel"/>
    <w:tmpl w:val="2B1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9A"/>
    <w:rsid w:val="00273899"/>
    <w:rsid w:val="0029456F"/>
    <w:rsid w:val="004D549A"/>
    <w:rsid w:val="009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C578"/>
  <w15:chartTrackingRefBased/>
  <w15:docId w15:val="{336EFDB8-D569-434A-B482-9881587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D549A"/>
    <w:rPr>
      <w:b/>
      <w:bCs/>
    </w:rPr>
  </w:style>
  <w:style w:type="character" w:styleId="a5">
    <w:name w:val="Hyperlink"/>
    <w:basedOn w:val="a0"/>
    <w:uiPriority w:val="99"/>
    <w:semiHidden/>
    <w:unhideWhenUsed/>
    <w:rsid w:val="004D54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6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1545</Words>
  <Characters>8807</Characters>
  <Application>Microsoft Office Word</Application>
  <DocSecurity>0</DocSecurity>
  <Lines>73</Lines>
  <Paragraphs>20</Paragraphs>
  <ScaleCrop>false</ScaleCrop>
  <Company>Home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Админович Админ</cp:lastModifiedBy>
  <cp:revision>5</cp:revision>
  <cp:lastPrinted>2020-03-26T07:56:00Z</cp:lastPrinted>
  <dcterms:created xsi:type="dcterms:W3CDTF">2020-03-25T16:34:00Z</dcterms:created>
  <dcterms:modified xsi:type="dcterms:W3CDTF">2020-03-26T08:40:00Z</dcterms:modified>
</cp:coreProperties>
</file>